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2D" w:rsidRDefault="00483465">
      <w:pPr>
        <w:spacing w:line="14" w:lineRule="exact"/>
      </w:pPr>
      <w:r>
        <w:pict>
          <v:rect id="_x0000_s1028" style="position:absolute;margin-left:0;margin-top:0;width:595pt;height:842pt;z-index:-251658752;mso-position-horizontal-relative:page;mso-position-vertical-relative:page" fillcolor="#dbe5f1" stroked="f">
            <w10:wrap anchorx="page" anchory="page"/>
          </v:rect>
        </w:pict>
      </w:r>
    </w:p>
    <w:p w:rsidR="007C17D6" w:rsidRDefault="007C17D6" w:rsidP="007C17D6">
      <w:pPr>
        <w:pStyle w:val="gvdemetni00"/>
        <w:pBdr>
          <w:top w:val="single" w:sz="4" w:space="0" w:color="auto"/>
          <w:left w:val="single" w:sz="4" w:space="0" w:color="auto"/>
          <w:bottom w:val="single" w:sz="4" w:space="0" w:color="auto"/>
          <w:right w:val="single" w:sz="4" w:space="0" w:color="auto"/>
        </w:pBdr>
        <w:spacing w:before="480" w:beforeAutospacing="0" w:after="500" w:afterAutospacing="0" w:line="398" w:lineRule="auto"/>
        <w:jc w:val="center"/>
        <w:rPr>
          <w:b/>
          <w:sz w:val="36"/>
          <w:szCs w:val="36"/>
        </w:rPr>
      </w:pPr>
      <w:bookmarkStart w:id="0" w:name="bookmark0"/>
    </w:p>
    <w:p w:rsidR="007C17D6" w:rsidRPr="007C17D6" w:rsidRDefault="003526B6" w:rsidP="007C17D6">
      <w:pPr>
        <w:pStyle w:val="gvdemetni00"/>
        <w:pBdr>
          <w:top w:val="single" w:sz="4" w:space="0" w:color="auto"/>
          <w:left w:val="single" w:sz="4" w:space="0" w:color="auto"/>
          <w:bottom w:val="single" w:sz="4" w:space="0" w:color="auto"/>
          <w:right w:val="single" w:sz="4" w:space="0" w:color="auto"/>
        </w:pBdr>
        <w:spacing w:before="480" w:beforeAutospacing="0" w:after="500" w:afterAutospacing="0" w:line="398" w:lineRule="auto"/>
        <w:jc w:val="center"/>
        <w:rPr>
          <w:b/>
          <w:bCs/>
          <w:sz w:val="36"/>
          <w:szCs w:val="36"/>
        </w:rPr>
      </w:pPr>
      <w:r w:rsidRPr="007C17D6">
        <w:rPr>
          <w:b/>
          <w:sz w:val="36"/>
          <w:szCs w:val="36"/>
        </w:rPr>
        <w:t>Kısmi Bölünmede Tescil İçin Gerekli Belgeler</w:t>
      </w:r>
      <w:bookmarkEnd w:id="0"/>
      <w:r w:rsidR="007C17D6" w:rsidRPr="007C17D6">
        <w:rPr>
          <w:b/>
          <w:sz w:val="36"/>
          <w:szCs w:val="36"/>
        </w:rPr>
        <w:t>,</w:t>
      </w:r>
      <w:r w:rsidR="007C17D6" w:rsidRPr="007C17D6">
        <w:rPr>
          <w:b/>
          <w:bCs/>
          <w:sz w:val="36"/>
          <w:szCs w:val="36"/>
        </w:rPr>
        <w:t xml:space="preserve"> </w:t>
      </w:r>
    </w:p>
    <w:p w:rsidR="007C17D6" w:rsidRDefault="007C17D6" w:rsidP="007C17D6">
      <w:pPr>
        <w:pStyle w:val="gvdemetni00"/>
        <w:pBdr>
          <w:top w:val="single" w:sz="4" w:space="0" w:color="auto"/>
          <w:left w:val="single" w:sz="4" w:space="0" w:color="auto"/>
          <w:bottom w:val="single" w:sz="4" w:space="0" w:color="auto"/>
          <w:right w:val="single" w:sz="4" w:space="0" w:color="auto"/>
        </w:pBdr>
        <w:spacing w:before="480" w:beforeAutospacing="0" w:after="500" w:afterAutospacing="0" w:line="398" w:lineRule="auto"/>
        <w:jc w:val="center"/>
      </w:pPr>
      <w:r>
        <w:rPr>
          <w:b/>
          <w:bCs/>
        </w:rPr>
        <w:t xml:space="preserve">Bu bilgilerin güncel olması ve ekleri ile belge örneklerinin hazırlanmasında sorunların yaşanmaması için İTO nın </w:t>
      </w:r>
      <w:hyperlink r:id="rId7" w:history="1">
        <w:r>
          <w:rPr>
            <w:rStyle w:val="Kpr"/>
            <w:rFonts w:eastAsia="Verdana"/>
            <w:b/>
            <w:bCs/>
          </w:rPr>
          <w:t>www.ito.org.tr</w:t>
        </w:r>
      </w:hyperlink>
      <w:r w:rsidR="00727E7F">
        <w:rPr>
          <w:b/>
          <w:bCs/>
        </w:rPr>
        <w:t xml:space="preserve"> den Ticaret Sicil – Mersis Kuruluş Randevu</w:t>
      </w:r>
      <w:r>
        <w:rPr>
          <w:b/>
          <w:bCs/>
        </w:rPr>
        <w:t xml:space="preserve"> adımlarından bilgi alınması önerilmektedir. </w:t>
      </w:r>
    </w:p>
    <w:p w:rsidR="00C5028E" w:rsidRPr="00C5028E" w:rsidRDefault="00C5028E" w:rsidP="00C5028E">
      <w:pPr>
        <w:pStyle w:val="Balk10"/>
        <w:keepNext/>
        <w:keepLines/>
        <w:shd w:val="clear" w:color="auto" w:fill="auto"/>
        <w:rPr>
          <w:sz w:val="24"/>
          <w:szCs w:val="24"/>
          <w:u w:val="none"/>
        </w:rPr>
      </w:pPr>
      <w:r w:rsidRPr="00C5028E">
        <w:rPr>
          <w:color w:val="FF0000"/>
          <w:sz w:val="24"/>
          <w:szCs w:val="24"/>
          <w:u w:val="none"/>
        </w:rPr>
        <w:t>Tüm işlemlerin başvurusu mersis üzerinden yapılmalı, talep numarası alındıktan sonra Ticaret Sicili Müdürlüklerine evrak ile müracaat edilip harçların yatırılması gerekmektedir</w:t>
      </w:r>
      <w:r w:rsidRPr="00C5028E">
        <w:rPr>
          <w:sz w:val="24"/>
          <w:szCs w:val="24"/>
          <w:u w:val="none"/>
        </w:rPr>
        <w:t>.</w:t>
      </w:r>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62"/>
        </w:tabs>
        <w:spacing w:after="0"/>
        <w:ind w:left="400" w:hanging="400"/>
      </w:pPr>
      <w:r>
        <w:t xml:space="preserve">Bölünmeye katılan şirketlerden her birinin, genel kurul kararından </w:t>
      </w:r>
      <w:r>
        <w:rPr>
          <w:b/>
          <w:bCs/>
        </w:rPr>
        <w:t>iki ay önce</w:t>
      </w:r>
      <w:r>
        <w:t>, ekteki</w:t>
      </w:r>
      <w:hyperlink r:id="rId8" w:history="1">
        <w:r>
          <w:t xml:space="preserve"> (EK 1) </w:t>
        </w:r>
      </w:hyperlink>
      <w:r>
        <w:t xml:space="preserve">örneğe uygun olarak verilmiş bulunan </w:t>
      </w:r>
      <w:r>
        <w:rPr>
          <w:u w:val="single"/>
        </w:rPr>
        <w:t>inceleme yapma haklarına</w:t>
      </w:r>
      <w:r>
        <w:t xml:space="preserve"> işaret eden ilanın yayınlandığı sicil gazetesi fotokopisi,</w:t>
      </w:r>
    </w:p>
    <w:p w:rsidR="0023412D" w:rsidRDefault="00483465">
      <w:pPr>
        <w:pStyle w:val="Balk20"/>
        <w:keepNext/>
        <w:keepLines/>
        <w:pBdr>
          <w:top w:val="single" w:sz="4" w:space="0" w:color="auto"/>
          <w:left w:val="single" w:sz="4" w:space="0" w:color="auto"/>
          <w:bottom w:val="single" w:sz="4" w:space="0" w:color="auto"/>
          <w:right w:val="single" w:sz="4" w:space="0" w:color="auto"/>
        </w:pBdr>
        <w:shd w:val="clear" w:color="auto" w:fill="auto"/>
        <w:spacing w:after="260"/>
        <w:ind w:left="400"/>
      </w:pPr>
      <w:hyperlink r:id="rId9" w:history="1">
        <w:bookmarkStart w:id="1" w:name="bookmark1"/>
        <w:r w:rsidR="003526B6">
          <w:t>Ek-1 tıklayınız.</w:t>
        </w:r>
        <w:bookmarkEnd w:id="1"/>
      </w:hyperlink>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62"/>
        </w:tabs>
        <w:spacing w:after="0"/>
        <w:ind w:left="400" w:hanging="400"/>
      </w:pPr>
      <w:r>
        <w:t>Alacaklıların, alacaklarını bildirmeye ve teminat verilmesini istemelerine dair çağrının sicil gazetesinde yedişer gün arayla üç defa yapılan ilanın fotokopisi</w:t>
      </w:r>
      <w:r w:rsidR="00004F33">
        <w:t>, * Genel Kurulun bu ilandan sonra yapılması gerekmektedir.</w:t>
      </w:r>
    </w:p>
    <w:p w:rsidR="0023412D" w:rsidRDefault="00483465">
      <w:pPr>
        <w:pStyle w:val="Balk20"/>
        <w:keepNext/>
        <w:keepLines/>
        <w:pBdr>
          <w:top w:val="single" w:sz="4" w:space="0" w:color="auto"/>
          <w:left w:val="single" w:sz="4" w:space="0" w:color="auto"/>
          <w:bottom w:val="single" w:sz="4" w:space="0" w:color="auto"/>
          <w:right w:val="single" w:sz="4" w:space="0" w:color="auto"/>
        </w:pBdr>
        <w:shd w:val="clear" w:color="auto" w:fill="auto"/>
        <w:ind w:left="400"/>
      </w:pPr>
      <w:hyperlink r:id="rId10" w:history="1">
        <w:bookmarkStart w:id="2" w:name="bookmark2"/>
        <w:r w:rsidR="003526B6">
          <w:t>Ek-2 tıklayınız.</w:t>
        </w:r>
        <w:bookmarkEnd w:id="2"/>
      </w:hyperlink>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62"/>
        </w:tabs>
        <w:spacing w:after="0"/>
        <w:ind w:left="400" w:hanging="400"/>
      </w:pPr>
      <w:r>
        <w:t xml:space="preserve">Bölünme sözleşmesi / planı (Bir asıl </w:t>
      </w:r>
      <w:r w:rsidR="00F87D8B">
        <w:t>nüsha</w:t>
      </w:r>
      <w:r>
        <w:t xml:space="preserve"> ve özel sicile kaydı gereken mal ve hakkın bulunması halinde bildirim yapılacak mercii sayısı kadar da fotokopi </w:t>
      </w:r>
      <w:r w:rsidR="009916BD">
        <w:t xml:space="preserve">beyana </w:t>
      </w:r>
      <w:r>
        <w:t>eklenmelidir.)</w:t>
      </w:r>
    </w:p>
    <w:p w:rsidR="0023412D" w:rsidRDefault="00483465">
      <w:pPr>
        <w:pStyle w:val="Balk20"/>
        <w:keepNext/>
        <w:keepLines/>
        <w:pBdr>
          <w:top w:val="single" w:sz="4" w:space="0" w:color="auto"/>
          <w:left w:val="single" w:sz="4" w:space="0" w:color="auto"/>
          <w:bottom w:val="single" w:sz="4" w:space="0" w:color="auto"/>
          <w:right w:val="single" w:sz="4" w:space="0" w:color="auto"/>
        </w:pBdr>
        <w:shd w:val="clear" w:color="auto" w:fill="auto"/>
        <w:spacing w:after="400"/>
        <w:ind w:left="400"/>
      </w:pPr>
      <w:hyperlink r:id="rId11" w:history="1">
        <w:bookmarkStart w:id="3" w:name="bookmark3"/>
        <w:r w:rsidR="003526B6">
          <w:t>Ek-3 tıklayınız.</w:t>
        </w:r>
        <w:bookmarkEnd w:id="3"/>
      </w:hyperlink>
    </w:p>
    <w:p w:rsidR="00727E7F" w:rsidRDefault="003526B6">
      <w:pPr>
        <w:pStyle w:val="Gvdemetni0"/>
        <w:pBdr>
          <w:top w:val="single" w:sz="4" w:space="0" w:color="auto"/>
          <w:left w:val="single" w:sz="4" w:space="0" w:color="auto"/>
          <w:bottom w:val="single" w:sz="4" w:space="0" w:color="auto"/>
          <w:right w:val="single" w:sz="4" w:space="0" w:color="auto"/>
        </w:pBdr>
        <w:shd w:val="clear" w:color="auto" w:fill="auto"/>
        <w:spacing w:after="400"/>
        <w:ind w:left="400" w:firstLine="20"/>
        <w:rPr>
          <w:i/>
          <w:iCs/>
        </w:rPr>
      </w:pPr>
      <w:r>
        <w:rPr>
          <w:i/>
          <w:iCs/>
        </w:rPr>
        <w:t xml:space="preserve">Not: 4.11.2012 tarih ve 28457 sayılı Resmi Gazetede yayımlanan “Küçük ve Orta Büyüklükteki İşletmelerin Tanımı, Nitelikleri ve Sınıflandırılması Hakkında Yönetmelikte Değişiklik Yapılmasına Dair Yönetmelik" hükümlerine göre Küçük ve Orta Büyüklükteki İşletme ölçütünü karşıladığı SMMM veya YMM raporu ile tespit edilen şirketler, tüm ortakların onaylaması halinde, söz </w:t>
      </w:r>
      <w:r>
        <w:rPr>
          <w:i/>
          <w:iCs/>
        </w:rPr>
        <w:lastRenderedPageBreak/>
        <w:t>konusu raporu ve müşavirin faaliyet belgesini ibraz koşulu ile inceleme hakkının kullanılmasından vazgeçebilir</w:t>
      </w:r>
      <w:r w:rsidR="00727E7F">
        <w:rPr>
          <w:i/>
          <w:iCs/>
        </w:rPr>
        <w:t>.</w:t>
      </w:r>
    </w:p>
    <w:p w:rsidR="0023412D" w:rsidRDefault="003526B6">
      <w:pPr>
        <w:pStyle w:val="Gvdemetni0"/>
        <w:pBdr>
          <w:top w:val="single" w:sz="4" w:space="0" w:color="auto"/>
          <w:left w:val="single" w:sz="4" w:space="0" w:color="auto"/>
          <w:bottom w:val="single" w:sz="4" w:space="0" w:color="auto"/>
          <w:right w:val="single" w:sz="4" w:space="0" w:color="auto"/>
        </w:pBdr>
        <w:shd w:val="clear" w:color="auto" w:fill="auto"/>
        <w:spacing w:after="400"/>
        <w:ind w:left="400" w:firstLine="20"/>
      </w:pPr>
      <w:r>
        <w:rPr>
          <w:i/>
          <w:iCs/>
        </w:rPr>
        <w:t xml:space="preserve"> </w:t>
      </w:r>
      <w:hyperlink r:id="rId12" w:history="1">
        <w:r>
          <w:rPr>
            <w:b/>
            <w:bCs/>
            <w:color w:val="0000FF"/>
            <w:u w:val="single"/>
          </w:rPr>
          <w:t>Ek-4 tıklayınız.</w:t>
        </w:r>
      </w:hyperlink>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62"/>
        </w:tabs>
        <w:spacing w:after="400"/>
        <w:ind w:left="400" w:hanging="400"/>
      </w:pPr>
      <w:r>
        <w:t xml:space="preserve">Bölünme sözleşmesi ve/veya planının onayına ve kısmi bölünmede devralan şirketlerin paylarının bölünen şirkete mi yoksa onun ortaklarına mı ait olacağına ilişkin bölünen ve bölünmeye katılan diğer şirketlerin genel kurul </w:t>
      </w:r>
      <w:r w:rsidR="004232E9">
        <w:t>kararının noter onaylı örneği (1</w:t>
      </w:r>
      <w:r>
        <w:t xml:space="preserve"> nüsha),</w:t>
      </w:r>
    </w:p>
    <w:p w:rsidR="009916B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62"/>
        </w:tabs>
        <w:spacing w:after="400"/>
        <w:ind w:left="400" w:hanging="400"/>
      </w:pPr>
      <w:r>
        <w:t>Kısmen bölünen şirket bakımından sermaye azaltılması yapılmasına söz konusu olduğu hallerde buna ilişkin belgeler,</w:t>
      </w:r>
    </w:p>
    <w:p w:rsidR="0023412D" w:rsidRDefault="009916BD" w:rsidP="009916BD">
      <w:pPr>
        <w:pStyle w:val="Gvdemetni0"/>
        <w:pBdr>
          <w:top w:val="single" w:sz="4" w:space="0" w:color="auto"/>
          <w:left w:val="single" w:sz="4" w:space="0" w:color="auto"/>
          <w:bottom w:val="single" w:sz="4" w:space="0" w:color="auto"/>
          <w:right w:val="single" w:sz="4" w:space="0" w:color="auto"/>
        </w:pBdr>
        <w:shd w:val="clear" w:color="auto" w:fill="auto"/>
        <w:tabs>
          <w:tab w:val="left" w:pos="362"/>
        </w:tabs>
        <w:spacing w:after="400"/>
        <w:ind w:left="400"/>
      </w:pPr>
      <w:r>
        <w:t>Yapılacak sermaye azatlımın da, iki aylık bekleme süresi uygulanmaz.</w:t>
      </w:r>
      <w:r w:rsidR="003526B6">
        <w:br w:type="page"/>
      </w:r>
    </w:p>
    <w:p w:rsidR="0023412D" w:rsidRDefault="00483465">
      <w:pPr>
        <w:spacing w:line="14" w:lineRule="exact"/>
      </w:pPr>
      <w:r>
        <w:lastRenderedPageBreak/>
        <w:pict>
          <v:rect id="_x0000_s1027" style="position:absolute;margin-left:0;margin-top:0;width:595pt;height:842pt;z-index:-251658751;mso-position-horizontal-relative:page;mso-position-vertical-relative:page" fillcolor="#dbe5f1" stroked="f">
            <w10:wrap anchorx="page" anchory="page"/>
          </v:rect>
        </w:pict>
      </w:r>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81"/>
        </w:tabs>
        <w:ind w:left="440" w:hanging="440"/>
      </w:pPr>
      <w:r>
        <w:t xml:space="preserve">Bölünen şirketin kısmi bölünmeye konu olan malvarlığı bölümlerinin değerlerinin tespitine şayet bölünen şirketin tapu, gemi ve fikri mülkiyet sicilleri ile benzeri sicillerde kayıtlı malvarlığının bulunması halinde; bunların gerçeğe uygun değerlerinin tespitine, sermaye azaltımına gerek olup olmadığına; sermaye azaltılması durumunda, kısmi bölünen şirkette kalan net malvarlığının şirketin borçlarını karşılamaya yeterli olduğuna, sermaye azaltılmasına gerek olmaması durumunda ise, buna ilişkin tespitleri gösteren ve alacaklıların alacaklarının tehlikeye düşmediğinin ispat edildiği ve ekinde şirket yönetim organı tarafından, denetime tabi şirketlerde denetçi tarafından onaylanmış son bilançonun bulunduğu YMM veya SMMM raporu ile müşavirin faaliyet belgesi ya da denetime tabi şirketlerde ise denetçinin bu tespitlere ilişkin raporu (Bir asıl nüsha ve özel sicile kaydı gereken mal ve hakkın bulunması halinde bildirim yapılacak mercii sayısı kadar da fotokopi </w:t>
      </w:r>
      <w:r w:rsidR="00821B87">
        <w:t xml:space="preserve">beyana </w:t>
      </w:r>
      <w:r>
        <w:t>eklenmelidir.)</w:t>
      </w:r>
    </w:p>
    <w:p w:rsidR="0023412D" w:rsidRDefault="00483465">
      <w:pPr>
        <w:pStyle w:val="Balk20"/>
        <w:keepNext/>
        <w:keepLines/>
        <w:pBdr>
          <w:top w:val="single" w:sz="4" w:space="0" w:color="auto"/>
          <w:left w:val="single" w:sz="4" w:space="0" w:color="auto"/>
          <w:bottom w:val="single" w:sz="4" w:space="0" w:color="auto"/>
          <w:right w:val="single" w:sz="4" w:space="0" w:color="auto"/>
        </w:pBdr>
        <w:shd w:val="clear" w:color="auto" w:fill="auto"/>
        <w:spacing w:after="180"/>
        <w:ind w:left="440" w:hanging="440"/>
        <w:jc w:val="both"/>
      </w:pPr>
      <w:hyperlink r:id="rId13" w:history="1">
        <w:bookmarkStart w:id="4" w:name="bookmark4"/>
        <w:r w:rsidR="003526B6">
          <w:t>Ek-5 tıklayınız.</w:t>
        </w:r>
        <w:bookmarkEnd w:id="4"/>
      </w:hyperlink>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81"/>
        </w:tabs>
        <w:spacing w:after="400"/>
        <w:ind w:left="440" w:hanging="440"/>
      </w:pPr>
      <w:r>
        <w:t>Bölünmeye katılan diğer şirketler tarafından; yeni kuruluş halinde kuruluş belgeleri,</w:t>
      </w:r>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81"/>
        </w:tabs>
        <w:spacing w:after="0"/>
        <w:ind w:left="440" w:hanging="440"/>
      </w:pPr>
      <w:r>
        <w:t xml:space="preserve">Bölünen şirketin bölünmeye konu olan; tapu, gemi ve fikri mülkiyet sicilleri ile benzeri sicillerde kayıtlı bulunan </w:t>
      </w:r>
      <w:r w:rsidR="00220560">
        <w:t xml:space="preserve">şubesi, </w:t>
      </w:r>
      <w:r>
        <w:t xml:space="preserve">mal ve haklarının listesi, bunların kayıtlı olduğu siciller ile söz konusu mal ve hakların ilgili sicillerdeki kayıtlarına ilişkin bilgileri içeren şirket yetkililerince imzalı </w:t>
      </w:r>
      <w:r w:rsidR="004232E9">
        <w:t xml:space="preserve">2 adet </w:t>
      </w:r>
      <w:r>
        <w:t xml:space="preserve">beyan (Bildirilecek her merci </w:t>
      </w:r>
      <w:r w:rsidR="004232E9">
        <w:t xml:space="preserve">için ayrı beyan hazırlanmalıdır ve ekine müşavir raporu ve bölünme </w:t>
      </w:r>
      <w:r w:rsidR="00212FF5">
        <w:t>sözleşmesi konulmalıdır</w:t>
      </w:r>
      <w:r w:rsidR="004232E9">
        <w:t>.</w:t>
      </w:r>
      <w:r>
        <w:t>)</w:t>
      </w:r>
    </w:p>
    <w:p w:rsidR="00E622CD" w:rsidRDefault="00E622CD" w:rsidP="00E622CD">
      <w:pPr>
        <w:pStyle w:val="Gvdemetni0"/>
        <w:numPr>
          <w:ilvl w:val="0"/>
          <w:numId w:val="2"/>
        </w:numPr>
        <w:pBdr>
          <w:top w:val="single" w:sz="4" w:space="0" w:color="auto"/>
          <w:left w:val="single" w:sz="4" w:space="0" w:color="auto"/>
          <w:bottom w:val="single" w:sz="4" w:space="0" w:color="auto"/>
          <w:right w:val="single" w:sz="4" w:space="0" w:color="auto"/>
        </w:pBdr>
        <w:shd w:val="clear" w:color="auto" w:fill="auto"/>
        <w:tabs>
          <w:tab w:val="left" w:pos="381"/>
        </w:tabs>
        <w:spacing w:after="0"/>
      </w:pPr>
      <w:r>
        <w:t>Şube beyanlarında eke belge konulmasına gerek bulunmamaktadır.</w:t>
      </w:r>
    </w:p>
    <w:p w:rsidR="0023412D" w:rsidRDefault="003526B6">
      <w:pPr>
        <w:pStyle w:val="Gvdemetni0"/>
        <w:pBdr>
          <w:top w:val="single" w:sz="4" w:space="0" w:color="auto"/>
          <w:left w:val="single" w:sz="4" w:space="0" w:color="auto"/>
          <w:bottom w:val="single" w:sz="4" w:space="0" w:color="auto"/>
          <w:right w:val="single" w:sz="4" w:space="0" w:color="auto"/>
        </w:pBdr>
        <w:shd w:val="clear" w:color="auto" w:fill="auto"/>
        <w:spacing w:after="400"/>
        <w:ind w:left="440" w:firstLine="20"/>
      </w:pPr>
      <w:r>
        <w:t>Şayet söz konusu hususlar yok ise; özel sicile kaydı gereken</w:t>
      </w:r>
      <w:r w:rsidR="00212FF5">
        <w:t xml:space="preserve"> şubesi,</w:t>
      </w:r>
      <w:r>
        <w:t xml:space="preserve"> mal ve hakların bulunmadığına dair beyan</w:t>
      </w:r>
      <w:r w:rsidR="00727E7F">
        <w:t xml:space="preserve"> verilmeli,</w:t>
      </w:r>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381"/>
        </w:tabs>
        <w:spacing w:after="0"/>
        <w:ind w:left="380" w:hanging="380"/>
        <w:jc w:val="left"/>
      </w:pPr>
      <w:r>
        <w:t>Bölünmeye katılan diğer şirketler tarafından; varsa sermaye artırımına ilişkin belgeler,</w:t>
      </w:r>
    </w:p>
    <w:p w:rsidR="0023412D" w:rsidRDefault="003526B6">
      <w:pPr>
        <w:pStyle w:val="Gvdemetni0"/>
        <w:pBdr>
          <w:top w:val="single" w:sz="4" w:space="0" w:color="auto"/>
          <w:left w:val="single" w:sz="4" w:space="0" w:color="auto"/>
          <w:bottom w:val="single" w:sz="4" w:space="0" w:color="auto"/>
          <w:right w:val="single" w:sz="4" w:space="0" w:color="auto"/>
        </w:pBdr>
        <w:shd w:val="clear" w:color="auto" w:fill="auto"/>
        <w:spacing w:after="400"/>
        <w:ind w:left="440" w:firstLine="20"/>
      </w:pPr>
      <w:r>
        <w:t>Bölünme sebebiyle sermaye azaltımı ile birlikte eş zamanlı artırım yapılması halind</w:t>
      </w:r>
      <w:r w:rsidR="00821B87">
        <w:t>e, verilmesi zorunlu</w:t>
      </w:r>
      <w:r>
        <w:t xml:space="preserve"> belgelerin de ayrıca Müdürlüğe ibrazı gerekmektedir.</w:t>
      </w:r>
    </w:p>
    <w:p w:rsidR="0023412D" w:rsidRDefault="003526B6">
      <w:pPr>
        <w:pStyle w:val="Gvdemetni0"/>
        <w:numPr>
          <w:ilvl w:val="0"/>
          <w:numId w:val="1"/>
        </w:numPr>
        <w:pBdr>
          <w:top w:val="single" w:sz="4" w:space="0" w:color="auto"/>
          <w:left w:val="single" w:sz="4" w:space="0" w:color="auto"/>
          <w:bottom w:val="single" w:sz="4" w:space="0" w:color="auto"/>
          <w:right w:val="single" w:sz="4" w:space="0" w:color="auto"/>
        </w:pBdr>
        <w:shd w:val="clear" w:color="auto" w:fill="auto"/>
        <w:tabs>
          <w:tab w:val="left" w:pos="481"/>
        </w:tabs>
        <w:spacing w:after="340"/>
        <w:ind w:left="380" w:hanging="380"/>
        <w:jc w:val="left"/>
      </w:pPr>
      <w:r>
        <w:lastRenderedPageBreak/>
        <w:t>Bakanlık veya diğer resmi kurumların iznine veya uygun görüşüne tabi olunması halinde, bu izin veya uygun görüş yazısı,</w:t>
      </w:r>
      <w:r>
        <w:br w:type="page"/>
      </w:r>
    </w:p>
    <w:p w:rsidR="0023412D" w:rsidRDefault="003526B6">
      <w:pPr>
        <w:pStyle w:val="Gvdemetni0"/>
        <w:numPr>
          <w:ilvl w:val="0"/>
          <w:numId w:val="1"/>
        </w:numPr>
        <w:shd w:val="clear" w:color="auto" w:fill="auto"/>
        <w:tabs>
          <w:tab w:val="left" w:pos="541"/>
        </w:tabs>
        <w:spacing w:after="0"/>
        <w:ind w:left="340" w:hanging="340"/>
        <w:jc w:val="left"/>
      </w:pPr>
      <w:r>
        <w:lastRenderedPageBreak/>
        <w:t>Bölünmeye katılan tüm şirketlerin yönetim organları tarafından, ayrı ayrı ya da birlikte hazırlanan bölünme raporu</w:t>
      </w:r>
    </w:p>
    <w:p w:rsidR="0023412D" w:rsidRDefault="00483465">
      <w:pPr>
        <w:spacing w:line="14" w:lineRule="exact"/>
      </w:pPr>
      <w:r>
        <w:pict>
          <v:rect id="_x0000_s1026" style="position:absolute;margin-left:0;margin-top:0;width:595pt;height:842pt;z-index:-251658750;mso-position-horizontal-relative:page;mso-position-vertical-relative:page" fillcolor="#dbe5f1" stroked="f">
            <w10:wrap anchorx="page" anchory="page"/>
          </v:rect>
        </w:pict>
      </w:r>
    </w:p>
    <w:p w:rsidR="0023412D" w:rsidRDefault="00483465">
      <w:pPr>
        <w:pStyle w:val="Balk20"/>
        <w:keepNext/>
        <w:keepLines/>
        <w:shd w:val="clear" w:color="auto" w:fill="auto"/>
        <w:spacing w:after="0"/>
        <w:ind w:left="440" w:firstLine="0"/>
      </w:pPr>
      <w:hyperlink r:id="rId14" w:history="1">
        <w:bookmarkStart w:id="5" w:name="bookmark5"/>
        <w:r w:rsidR="003526B6">
          <w:t>Ek-6 tıklayınız.</w:t>
        </w:r>
        <w:bookmarkEnd w:id="5"/>
      </w:hyperlink>
      <w:bookmarkStart w:id="6" w:name="_GoBack"/>
      <w:bookmarkEnd w:id="6"/>
    </w:p>
    <w:sectPr w:rsidR="0023412D" w:rsidSect="0023412D">
      <w:pgSz w:w="11900" w:h="16840"/>
      <w:pgMar w:top="1398" w:right="1381" w:bottom="1102" w:left="1686" w:header="970" w:footer="67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97" w:rsidRDefault="00AA2497" w:rsidP="0023412D">
      <w:r>
        <w:separator/>
      </w:r>
    </w:p>
  </w:endnote>
  <w:endnote w:type="continuationSeparator" w:id="0">
    <w:p w:rsidR="00AA2497" w:rsidRDefault="00AA2497" w:rsidP="0023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97" w:rsidRDefault="00AA2497"/>
  </w:footnote>
  <w:footnote w:type="continuationSeparator" w:id="0">
    <w:p w:rsidR="00AA2497" w:rsidRDefault="00AA2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E05FC"/>
    <w:multiLevelType w:val="hybridMultilevel"/>
    <w:tmpl w:val="E31A11DC"/>
    <w:lvl w:ilvl="0" w:tplc="D64477F2">
      <w:start w:val="4"/>
      <w:numFmt w:val="bullet"/>
      <w:lvlText w:val=""/>
      <w:lvlJc w:val="left"/>
      <w:pPr>
        <w:ind w:left="800" w:hanging="360"/>
      </w:pPr>
      <w:rPr>
        <w:rFonts w:ascii="Symbol" w:eastAsia="Verdana" w:hAnsi="Symbol" w:cs="Verdana"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1" w15:restartNumberingAfterBreak="0">
    <w:nsid w:val="5FBE358F"/>
    <w:multiLevelType w:val="multilevel"/>
    <w:tmpl w:val="888CCE52"/>
    <w:lvl w:ilvl="0">
      <w:start w:val="1"/>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3412D"/>
    <w:rsid w:val="00004F33"/>
    <w:rsid w:val="0005773D"/>
    <w:rsid w:val="001A50B4"/>
    <w:rsid w:val="00212FF5"/>
    <w:rsid w:val="00220560"/>
    <w:rsid w:val="0023412D"/>
    <w:rsid w:val="00267771"/>
    <w:rsid w:val="003526B6"/>
    <w:rsid w:val="004232E9"/>
    <w:rsid w:val="004521B3"/>
    <w:rsid w:val="00483465"/>
    <w:rsid w:val="004F05B5"/>
    <w:rsid w:val="007106BD"/>
    <w:rsid w:val="00727E7F"/>
    <w:rsid w:val="007C17D6"/>
    <w:rsid w:val="00821B87"/>
    <w:rsid w:val="009916BD"/>
    <w:rsid w:val="0099272B"/>
    <w:rsid w:val="00995260"/>
    <w:rsid w:val="00AA2497"/>
    <w:rsid w:val="00C5028E"/>
    <w:rsid w:val="00D06DF7"/>
    <w:rsid w:val="00E26027"/>
    <w:rsid w:val="00E622CD"/>
    <w:rsid w:val="00F8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EF0CAC9-FDFC-41E3-B9CE-6D1D414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3412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23412D"/>
    <w:rPr>
      <w:rFonts w:ascii="Verdana" w:eastAsia="Verdana" w:hAnsi="Verdana" w:cs="Verdana"/>
      <w:b/>
      <w:bCs/>
      <w:i w:val="0"/>
      <w:iCs w:val="0"/>
      <w:smallCaps w:val="0"/>
      <w:strike w:val="0"/>
      <w:sz w:val="32"/>
      <w:szCs w:val="32"/>
      <w:u w:val="single"/>
    </w:rPr>
  </w:style>
  <w:style w:type="character" w:customStyle="1" w:styleId="Gvdemetni">
    <w:name w:val="Gövde metni_"/>
    <w:basedOn w:val="VarsaylanParagrafYazTipi"/>
    <w:link w:val="Gvdemetni0"/>
    <w:rsid w:val="0023412D"/>
    <w:rPr>
      <w:rFonts w:ascii="Verdana" w:eastAsia="Verdana" w:hAnsi="Verdana" w:cs="Verdana"/>
      <w:b w:val="0"/>
      <w:bCs w:val="0"/>
      <w:i w:val="0"/>
      <w:iCs w:val="0"/>
      <w:smallCaps w:val="0"/>
      <w:strike w:val="0"/>
      <w:sz w:val="22"/>
      <w:szCs w:val="22"/>
      <w:u w:val="none"/>
    </w:rPr>
  </w:style>
  <w:style w:type="character" w:customStyle="1" w:styleId="Balk2">
    <w:name w:val="Başlık #2_"/>
    <w:basedOn w:val="VarsaylanParagrafYazTipi"/>
    <w:link w:val="Balk20"/>
    <w:rsid w:val="0023412D"/>
    <w:rPr>
      <w:rFonts w:ascii="Verdana" w:eastAsia="Verdana" w:hAnsi="Verdana" w:cs="Verdana"/>
      <w:b/>
      <w:bCs/>
      <w:i w:val="0"/>
      <w:iCs w:val="0"/>
      <w:smallCaps w:val="0"/>
      <w:strike w:val="0"/>
      <w:color w:val="0000FF"/>
      <w:sz w:val="22"/>
      <w:szCs w:val="22"/>
      <w:u w:val="single"/>
    </w:rPr>
  </w:style>
  <w:style w:type="paragraph" w:customStyle="1" w:styleId="Balk10">
    <w:name w:val="Başlık #1"/>
    <w:basedOn w:val="Normal"/>
    <w:link w:val="Balk1"/>
    <w:rsid w:val="0023412D"/>
    <w:pPr>
      <w:shd w:val="clear" w:color="auto" w:fill="FFFFFF"/>
      <w:spacing w:after="760"/>
      <w:ind w:left="580"/>
      <w:outlineLvl w:val="0"/>
    </w:pPr>
    <w:rPr>
      <w:rFonts w:ascii="Verdana" w:eastAsia="Verdana" w:hAnsi="Verdana" w:cs="Verdana"/>
      <w:b/>
      <w:bCs/>
      <w:sz w:val="32"/>
      <w:szCs w:val="32"/>
      <w:u w:val="single"/>
    </w:rPr>
  </w:style>
  <w:style w:type="paragraph" w:customStyle="1" w:styleId="Gvdemetni0">
    <w:name w:val="Gövde metni"/>
    <w:basedOn w:val="Normal"/>
    <w:link w:val="Gvdemetni"/>
    <w:rsid w:val="0023412D"/>
    <w:pPr>
      <w:shd w:val="clear" w:color="auto" w:fill="FFFFFF"/>
      <w:spacing w:after="280" w:line="360" w:lineRule="auto"/>
      <w:jc w:val="both"/>
    </w:pPr>
    <w:rPr>
      <w:rFonts w:ascii="Verdana" w:eastAsia="Verdana" w:hAnsi="Verdana" w:cs="Verdana"/>
      <w:sz w:val="22"/>
      <w:szCs w:val="22"/>
    </w:rPr>
  </w:style>
  <w:style w:type="paragraph" w:customStyle="1" w:styleId="Balk20">
    <w:name w:val="Başlık #2"/>
    <w:basedOn w:val="Normal"/>
    <w:link w:val="Balk2"/>
    <w:rsid w:val="0023412D"/>
    <w:pPr>
      <w:shd w:val="clear" w:color="auto" w:fill="FFFFFF"/>
      <w:spacing w:after="200" w:line="360" w:lineRule="auto"/>
      <w:ind w:left="420" w:firstLine="20"/>
      <w:outlineLvl w:val="1"/>
    </w:pPr>
    <w:rPr>
      <w:rFonts w:ascii="Verdana" w:eastAsia="Verdana" w:hAnsi="Verdana" w:cs="Verdana"/>
      <w:b/>
      <w:bCs/>
      <w:color w:val="0000FF"/>
      <w:sz w:val="22"/>
      <w:szCs w:val="22"/>
      <w:u w:val="single"/>
    </w:rPr>
  </w:style>
  <w:style w:type="character" w:styleId="Kpr">
    <w:name w:val="Hyperlink"/>
    <w:basedOn w:val="VarsaylanParagrafYazTipi"/>
    <w:uiPriority w:val="99"/>
    <w:semiHidden/>
    <w:unhideWhenUsed/>
    <w:rsid w:val="007C17D6"/>
    <w:rPr>
      <w:color w:val="0000FF" w:themeColor="hyperlink"/>
      <w:u w:val="single"/>
    </w:rPr>
  </w:style>
  <w:style w:type="paragraph" w:customStyle="1" w:styleId="gvdemetni00">
    <w:name w:val="gvdemetni0"/>
    <w:basedOn w:val="Normal"/>
    <w:rsid w:val="007C17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o.org.tr/ito/docs/portal_docs/6102_bolunme_ek2.doc" TargetMode="External"/><Relationship Id="rId13" Type="http://schemas.openxmlformats.org/officeDocument/2006/relationships/hyperlink" Target="https://archive.ismmmo.org.tr/TicariSicilVeRaporlar/ekler/bolunme/ek5-1.doc" TargetMode="External"/><Relationship Id="rId3" Type="http://schemas.openxmlformats.org/officeDocument/2006/relationships/settings" Target="settings.xml"/><Relationship Id="rId7" Type="http://schemas.openxmlformats.org/officeDocument/2006/relationships/hyperlink" Target="http://www.ito.org.tr" TargetMode="External"/><Relationship Id="rId12" Type="http://schemas.openxmlformats.org/officeDocument/2006/relationships/hyperlink" Target="https://archive.ismmmo.org.tr/TicariSicilVeRaporlar/KOB&#304;%20TANIMINA%20UYGUN%20RAPOR.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ismmmo.org.tr/TicariSicilVeRaporlar/ekler/bolunme/ek3-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chive.ismmmo.org.tr/TicariSicilVeRaporlar/ekler/bolunme/ek2.doc" TargetMode="External"/><Relationship Id="rId4" Type="http://schemas.openxmlformats.org/officeDocument/2006/relationships/webSettings" Target="webSettings.xml"/><Relationship Id="rId9" Type="http://schemas.openxmlformats.org/officeDocument/2006/relationships/hyperlink" Target="https://archive.ismmmo.org.tr/TicariSicilVeRaporlar/ekler/bolunme/ek1.doc" TargetMode="External"/><Relationship Id="rId14" Type="http://schemas.openxmlformats.org/officeDocument/2006/relationships/hyperlink" Target="https://archive.ismmmo.org.tr/TicariSicilVeRaporlar/ekler/bolunme/ek6-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berk gulata</cp:lastModifiedBy>
  <cp:revision>9</cp:revision>
  <dcterms:created xsi:type="dcterms:W3CDTF">2018-06-12T12:42:00Z</dcterms:created>
  <dcterms:modified xsi:type="dcterms:W3CDTF">2018-10-03T14:34:00Z</dcterms:modified>
</cp:coreProperties>
</file>